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0" distR="0" simplePos="0" locked="0" layoutInCell="1" allowOverlap="1" relativeHeight="2">
                <wp:simplePos x="0" y="0"/>
                <wp:positionH relativeFrom="column">
                  <wp:posOffset>-21590</wp:posOffset>
                </wp:positionH>
                <wp:positionV relativeFrom="paragraph">
                  <wp:posOffset>-137160</wp:posOffset>
                </wp:positionV>
                <wp:extent cx="6252845" cy="1976120"/>
                <wp:effectExtent l="0" t="0" r="0" b="0"/>
                <wp:wrapNone/>
                <wp:docPr id="1" name="Image1"/>
                <a:graphic xmlns:a="http://schemas.openxmlformats.org/drawingml/2006/main">
                  <a:graphicData uri="http://schemas.microsoft.com/office/word/2010/wordprocessingShape">
                    <wps:wsp>
                      <wps:cNvSpPr/>
                      <wps:spPr>
                        <a:xfrm>
                          <a:off x="0" y="0"/>
                          <a:ext cx="6252120" cy="197532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5pt;height:155.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0"/>
        </w:rPr>
      </w:pPr>
      <w:r>
        <w:rPr>
          <w:rFonts w:cs="Arial" w:ascii="Marianne" w:hAnsi="Marianne"/>
          <w:sz w:val="28"/>
          <w:szCs w:val="26"/>
          <w:bdr w:val="single" w:sz="4" w:space="0" w:color="000000"/>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417"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pPr>
      <w:r>
        <w:rPr>
          <w:rFonts w:cs="Arial" w:ascii="Marianne" w:hAnsi="Marianne"/>
          <w:spacing w:val="10"/>
          <w:sz w:val="22"/>
          <w:szCs w:val="24"/>
        </w:rPr>
        <w:tab/>
        <w:t xml:space="preserve">L’an deux mille vingt, le 21 juillet à ………. heures ………. minutes, en application des articles L. 283 à L. 293 et R.131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les conseillers municipaux suivants) </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6"/>
        <w:gridCol w:w="3076"/>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6"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 :</w:t>
      </w:r>
    </w:p>
    <w:tbl>
      <w:tblPr>
        <w:tblStyle w:val="Grilledutableau"/>
        <w:tblW w:w="9218" w:type="dxa"/>
        <w:jc w:val="center"/>
        <w:tblInd w:w="0" w:type="dxa"/>
        <w:tblCellMar>
          <w:top w:w="0" w:type="dxa"/>
          <w:left w:w="108" w:type="dxa"/>
          <w:bottom w:w="0" w:type="dxa"/>
          <w:right w:w="108" w:type="dxa"/>
        </w:tblCellMar>
        <w:tblLook w:val="04a0"/>
      </w:tblPr>
      <w:tblGrid>
        <w:gridCol w:w="3072"/>
        <w:gridCol w:w="3069"/>
        <w:gridCol w:w="3077"/>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69"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7"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69"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7"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69"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7"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69"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7"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69"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7"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5"/>
      </w:r>
      <w:r>
        <w:rPr>
          <w:rFonts w:ascii="Marianne" w:hAnsi="Marianne"/>
          <w:spacing w:val="10"/>
          <w:sz w:val="22"/>
        </w:rPr>
        <w:t>.</w:t>
      </w:r>
    </w:p>
    <w:p>
      <w:pPr>
        <w:pStyle w:val="Normal"/>
        <w:spacing w:before="120" w:after="120"/>
        <w:ind w:firstLine="708"/>
        <w:jc w:val="both"/>
        <w:rPr/>
      </w:pPr>
      <w:r>
        <w:rPr>
          <w:rFonts w:ascii="Marianne" w:hAnsi="Marianne"/>
          <w:spacing w:val="10"/>
          <w:sz w:val="22"/>
        </w:rPr>
        <w:t xml:space="preserve">Le maire (ou son remplaçant) a rappelé que les membres du conseil municipal qui n'ont pas la nationalité française ne peuvent ni être élus membres du collège électoral sénatorial, ni participer à l'élection des délégués et des suppléants (art. L.O. 286-1 du code électoral). </w:t>
      </w:r>
    </w:p>
    <w:p>
      <w:pPr>
        <w:pStyle w:val="Normal"/>
        <w:spacing w:before="120" w:after="120"/>
        <w:ind w:firstLine="708"/>
        <w:jc w:val="both"/>
        <w:rPr/>
      </w:pPr>
      <w:r>
        <w:rPr>
          <w:rFonts w:ascii="Marianne" w:hAnsi="Marianne"/>
          <w:spacing w:val="10"/>
          <w:sz w:val="22"/>
        </w:rPr>
        <w:t xml:space="preserve">Le maire (ou son remplaçant) a également précisé que les membres du conseil municipal qui sont également députés, sénateurs,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clear" w:pos="708"/>
          <w:tab w:val="left" w:pos="7088" w:leader="none"/>
          <w:tab w:val="left" w:pos="10490" w:leader="none"/>
        </w:tabs>
        <w:spacing w:before="120" w:after="120"/>
        <w:jc w:val="both"/>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w:t>
      </w:r>
    </w:p>
    <w:p>
      <w:pPr>
        <w:pStyle w:val="Normal"/>
        <w:tabs>
          <w:tab w:val="clear" w:pos="708"/>
          <w:tab w:val="left" w:pos="8080" w:leader="dot"/>
          <w:tab w:val="left" w:pos="10490" w:leader="dot"/>
        </w:tabs>
        <w:spacing w:before="120" w:after="120"/>
        <w:jc w:val="both"/>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 ………… suppléants.</w:t>
      </w:r>
    </w:p>
    <w:p>
      <w:pPr>
        <w:pStyle w:val="Normal"/>
        <w:spacing w:before="120" w:after="120"/>
        <w:jc w:val="both"/>
        <w:rPr/>
      </w:pPr>
      <w:r>
        <w:rPr>
          <w:rFonts w:ascii="Marianne" w:hAnsi="Marianne"/>
          <w:spacing w:val="10"/>
          <w:sz w:val="22"/>
        </w:rPr>
        <w:tab/>
        <w:t xml:space="preserve">Les candidats peuvent se présenter soit sur une liste comportant autant de noms qu’il y a de délégués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pPr>
      <w:r>
        <w:rPr>
          <w:rFonts w:cs="Arial" w:ascii="Marianne" w:hAnsi="Marianne"/>
          <w:b/>
          <w:spacing w:val="10"/>
          <w:sz w:val="26"/>
          <w:szCs w:val="26"/>
          <w:u w:val="single"/>
        </w:rPr>
        <w:t>É</w:t>
      </w:r>
      <w:r>
        <w:rPr>
          <w:rFonts w:ascii="Marianne" w:hAnsi="Marianne"/>
          <w:b/>
          <w:spacing w:val="10"/>
          <w:sz w:val="26"/>
          <w:szCs w:val="26"/>
          <w:u w:val="single"/>
        </w:rPr>
        <w:t>lection des délégués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jc w:val="both"/>
        <w:rPr/>
      </w:pPr>
      <w:r>
        <w:rPr>
          <w:rFonts w:ascii="Marianne" w:hAnsi="Marianne"/>
          <w:spacing w:val="10"/>
          <w:sz w:val="22"/>
        </w:rPr>
        <w:t xml:space="preserve">      </w:t>
      </w:r>
      <w:r>
        <w:rPr>
          <w:rFonts w:ascii="Marianne" w:hAnsi="Marianne"/>
          <w:spacing w:val="10"/>
          <w:sz w:val="22"/>
        </w:rPr>
        <w:t xml:space="preserve">Les mandats de délégués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à élire. Il est attribué à chaque liste autant de mandats de délégués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lineRule="auto" w:line="276" w:before="120" w:after="120"/>
        <w:jc w:val="both"/>
        <w:rPr/>
      </w:pPr>
      <w:r>
        <w:rPr>
          <w:rFonts w:ascii="Marianne" w:hAnsi="Marianne"/>
          <w:spacing w:val="10"/>
          <w:sz w:val="22"/>
        </w:rPr>
        <w:t xml:space="preserve">          </w:t>
      </w:r>
      <w:r>
        <w:rPr>
          <w:rFonts w:ascii="Marianne" w:hAnsi="Marianne"/>
          <w:spacing w:val="10"/>
          <w:sz w:val="22"/>
        </w:rPr>
        <w:t xml:space="preserve">Une fois l’attribution des mandats de délégués effectuée, il est procédé de la même manière pour l’attribution des mandats de suppléants. </w:t>
      </w:r>
    </w:p>
    <w:tbl>
      <w:tblPr>
        <w:tblStyle w:val="Grilledutableau"/>
        <w:tblW w:w="9961" w:type="dxa"/>
        <w:jc w:val="left"/>
        <w:tblInd w:w="0" w:type="dxa"/>
        <w:tblCellMar>
          <w:top w:w="0" w:type="dxa"/>
          <w:left w:w="108" w:type="dxa"/>
          <w:bottom w:w="0" w:type="dxa"/>
          <w:right w:w="108" w:type="dxa"/>
        </w:tblCellMar>
        <w:tblLook w:val="04a0"/>
      </w:tblPr>
      <w:tblGrid>
        <w:gridCol w:w="4847"/>
        <w:gridCol w:w="1420"/>
        <w:gridCol w:w="1862"/>
        <w:gridCol w:w="1831"/>
      </w:tblGrid>
      <w:tr>
        <w:trPr>
          <w:trHeight w:val="1358" w:hRule="atLeast"/>
        </w:trPr>
        <w:tc>
          <w:tcPr>
            <w:tcW w:w="4847" w:type="dxa"/>
            <w:tcBorders/>
            <w:shd w:fill="auto" w:val="clea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clear" w:pos="708"/>
                <w:tab w:val="left" w:pos="9639" w:leader="dot"/>
                <w:tab w:val="left" w:pos="15168" w:leader="dot"/>
              </w:tabs>
              <w:spacing w:lineRule="auto" w:line="24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420" w:type="dxa"/>
            <w:tcBorders/>
            <w:shd w:fill="auto" w:val="clear"/>
          </w:tcPr>
          <w:p>
            <w:pPr>
              <w:pStyle w:val="Normal"/>
              <w:widowControl/>
              <w:tabs>
                <w:tab w:val="clear" w:pos="708"/>
                <w:tab w:val="left" w:pos="9639" w:leader="dot"/>
                <w:tab w:val="left" w:pos="15168" w:leader="dot"/>
              </w:tabs>
              <w:bidi w:val="0"/>
              <w:spacing w:lineRule="auto" w:line="240" w:before="120" w:after="120"/>
              <w:ind w:left="0" w:right="0" w:hanging="0"/>
              <w:jc w:val="center"/>
              <w:rPr/>
            </w:pPr>
            <w:r>
              <w:rPr>
                <w:rFonts w:cs="Arial" w:ascii="Marianne" w:hAnsi="Marianne"/>
                <w:b/>
                <w:sz w:val="24"/>
                <w:szCs w:val="24"/>
              </w:rPr>
              <w:t>Suffrages obtenus</w:t>
            </w:r>
          </w:p>
        </w:tc>
        <w:tc>
          <w:tcPr>
            <w:tcW w:w="1862" w:type="dxa"/>
            <w:tcBorders/>
            <w:shd w:fill="auto" w:val="clear"/>
          </w:tcPr>
          <w:p>
            <w:pPr>
              <w:pStyle w:val="Normal"/>
              <w:widowControl/>
              <w:tabs>
                <w:tab w:val="clear" w:pos="708"/>
                <w:tab w:val="left" w:pos="9639" w:leader="dot"/>
                <w:tab w:val="left" w:pos="15168" w:leader="dot"/>
              </w:tabs>
              <w:bidi w:val="0"/>
              <w:spacing w:lineRule="auto" w:line="240" w:before="120" w:after="120"/>
              <w:ind w:left="0" w:right="57" w:hanging="0"/>
              <w:jc w:val="center"/>
              <w:rPr/>
            </w:pPr>
            <w:r>
              <w:rPr>
                <w:rFonts w:cs="Arial" w:ascii="Marianne" w:hAnsi="Marianne"/>
                <w:b/>
                <w:sz w:val="24"/>
                <w:szCs w:val="24"/>
              </w:rPr>
              <w:t xml:space="preserve">Nombre de délégués </w:t>
              <w:br/>
              <w:t xml:space="preserve"> obtenus</w:t>
            </w:r>
          </w:p>
        </w:tc>
        <w:tc>
          <w:tcPr>
            <w:tcW w:w="1831" w:type="dxa"/>
            <w:tcBorders/>
            <w:shd w:fill="auto" w:val="clear"/>
          </w:tcPr>
          <w:p>
            <w:pPr>
              <w:pStyle w:val="Entte"/>
              <w:tabs>
                <w:tab w:val="left" w:pos="4113" w:leader="dot"/>
                <w:tab w:val="center" w:pos="4536" w:leader="none"/>
                <w:tab w:val="right" w:pos="9072" w:leader="none"/>
              </w:tabs>
              <w:spacing w:lineRule="auto" w:line="240" w:before="0" w:after="0"/>
              <w:jc w:val="center"/>
              <w:rPr>
                <w:rFonts w:ascii="Marianne" w:hAnsi="Marianne" w:cs="Arial"/>
                <w:b/>
                <w:b/>
                <w:sz w:val="24"/>
                <w:szCs w:val="24"/>
              </w:rPr>
            </w:pPr>
            <w:r>
              <w:rPr>
                <w:rFonts w:cs="Arial" w:ascii="Marianne" w:hAnsi="Marianne"/>
                <w:b/>
                <w:sz w:val="24"/>
                <w:szCs w:val="24"/>
              </w:rPr>
              <w:t>Nombre de suppléants</w:t>
            </w:r>
          </w:p>
          <w:p>
            <w:pPr>
              <w:pStyle w:val="Normal"/>
              <w:widowControl/>
              <w:tabs>
                <w:tab w:val="clear" w:pos="708"/>
                <w:tab w:val="left" w:pos="9639" w:leader="dot"/>
                <w:tab w:val="left" w:pos="15168" w:leader="dot"/>
              </w:tabs>
              <w:bidi w:val="0"/>
              <w:spacing w:lineRule="auto" w:line="240" w:before="120" w:after="120"/>
              <w:ind w:left="0" w:right="57" w:hanging="0"/>
              <w:jc w:val="center"/>
              <w:rPr/>
            </w:pPr>
            <w:r>
              <w:rPr>
                <w:rFonts w:cs="Arial" w:ascii="Marianne" w:hAnsi="Marianne"/>
                <w:b/>
                <w:sz w:val="24"/>
                <w:szCs w:val="24"/>
              </w:rPr>
              <w:t>obtenus</w:t>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r>
        <w:trPr/>
        <w:tc>
          <w:tcPr>
            <w:tcW w:w="484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420"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62"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c>
          <w:tcPr>
            <w:tcW w:w="183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pPr>
      <w:r>
        <w:rPr>
          <w:rFonts w:ascii="Marianne" w:hAnsi="Marianne"/>
          <w:spacing w:val="10"/>
          <w:sz w:val="22"/>
        </w:rPr>
        <w:tab/>
        <w:t>Le maire (ou son remplaçant) a proclamé élus délégués les candidats des listes ayant obtenu des mandats de délégués dans l’ordre de présentation sur chaque liste et dans la limite du nombre de mandats de délégués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Cs w:val="26"/>
          <w:u w:val="single"/>
        </w:rPr>
      </w:pPr>
      <w:r>
        <w:rPr>
          <w:rFonts w:cs="Arial" w:ascii="Marianne" w:hAnsi="Marianne"/>
          <w:b/>
          <w:spacing w:val="10"/>
          <w:sz w:val="26"/>
          <w:szCs w:val="26"/>
          <w:u w:val="single"/>
        </w:rPr>
        <w:t>Refus des délégués</w:t>
      </w:r>
      <w:r>
        <w:rPr>
          <w:rStyle w:val="Ancredenotedebasdepage"/>
          <w:rFonts w:cs="Arial" w:ascii="Marianne" w:hAnsi="Marianne"/>
          <w:spacing w:val="10"/>
          <w:sz w:val="22"/>
          <w:szCs w:val="26"/>
          <w:u w:val="single"/>
          <w:vertAlign w:val="superscript"/>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0"/>
        </w:numPr>
        <w:spacing w:lineRule="auto" w:line="360" w:before="120" w:after="120"/>
        <w:ind w:left="567" w:hanging="0"/>
        <w:contextualSpacing/>
        <w:jc w:val="both"/>
        <w:outlineLvl w:val="0"/>
        <w:rPr>
          <w:rFonts w:ascii="Marianne" w:hAnsi="Marianne"/>
          <w:spacing w:val="10"/>
          <w:sz w:val="22"/>
          <w:vertAlign w:val="superscript"/>
        </w:rPr>
      </w:pPr>
      <w:r>
        <w:rPr>
          <w:rFonts w:ascii="Marianne" w:hAnsi="Marianne"/>
          <w:spacing w:val="10"/>
          <w:sz w:val="22"/>
          <w:vertAlign w:val="superscript"/>
        </w:rPr>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ascii="Marianne" w:hAnsi="Marianne"/>
          <w:sz w:val="22"/>
          <w:vertAlign w:val="superscript"/>
        </w:rPr>
        <w:footnoteReference w:id="7"/>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pPr>
      <w:r>
        <w:rPr>
          <w:rFonts w:cs="Arial" w:ascii="Marianne" w:hAnsi="Marianne"/>
          <w:spacing w:val="10"/>
          <w:sz w:val="22"/>
          <w:szCs w:val="26"/>
        </w:rPr>
        <w:t>Le présent procès-verbal, dressé et clos le 21 juillet 2020 à …………………….... heures et ……………………….. minutes, en triple exemplaire</w:t>
      </w:r>
      <w:r>
        <w:rPr>
          <w:rStyle w:val="Ancredenotedebasdepage"/>
          <w:rFonts w:cs="Arial" w:ascii="Marianne" w:hAnsi="Marianne"/>
          <w:spacing w:val="10"/>
          <w:sz w:val="22"/>
          <w:szCs w:val="26"/>
        </w:rPr>
        <w:footnoteReference w:id="8"/>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r>
        <w:br w:type="page"/>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pPr>
      <w:r>
        <w:rPr>
          <w:rFonts w:cs="Arial" w:ascii="Marianne" w:hAnsi="Marianne"/>
          <w:spacing w:val="10"/>
          <w:sz w:val="22"/>
          <w:szCs w:val="22"/>
        </w:rPr>
        <w:t>Liste des délégués et suppléants élus</w:t>
      </w:r>
      <w:r>
        <w:rPr>
          <w:rFonts w:ascii="Marianne" w:hAnsi="Marianne"/>
          <w:sz w:val="22"/>
          <w:szCs w:val="22"/>
        </w:rPr>
        <w:t xml:space="preserve">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5891538"/>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0</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ind w:left="284"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w:t>
      </w:r>
    </w:p>
  </w:footnote>
  <w:footnote w:id="3">
    <w:p>
      <w:pPr>
        <w:pStyle w:val="Notedebasdepage"/>
        <w:ind w:left="284" w:hanging="142"/>
        <w:jc w:val="both"/>
        <w:rPr/>
      </w:pPr>
      <w:r>
        <w:rPr>
          <w:rStyle w:val="Caractresdenotedebasdepage"/>
        </w:rPr>
        <w:footnoteRef/>
      </w:r>
      <w:r>
        <w:rPr>
          <w:rFonts w:ascii="Marianne" w:hAnsi="Marianne"/>
        </w:rPr>
        <w:tab/>
        <w:t xml:space="preserve"> </w:t>
      </w:r>
      <w:r>
        <w:rPr>
          <w:rFonts w:ascii="Marianne" w:hAnsi="Marianne"/>
        </w:rPr>
        <w:t xml:space="preserve">Préciser, s’ils sont excusés, s’ils ont donné pouvoir et à qui (art. L.289 du code électoral). Un même conseiller ne peut être porteur que </w:t>
      </w:r>
      <w:r>
        <w:rPr>
          <w:rFonts w:ascii="Marianne" w:hAnsi="Marianne"/>
          <w:b/>
        </w:rPr>
        <w:t>d'un seul pouvoir</w:t>
      </w:r>
      <w:r>
        <w:rPr>
          <w:rFonts w:ascii="Marianne" w:hAnsi="Marianne"/>
        </w:rPr>
        <w:t xml:space="preserve"> qui est toujours révocable</w:t>
      </w:r>
    </w:p>
  </w:footnote>
  <w:footnote w:id="4">
    <w:p>
      <w:pPr>
        <w:pStyle w:val="Normal"/>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En l’absence de quorum, le conseil municipal doit être convoqué à au moins trois jours d’intervalle et peut alors délibérer sans condition de quorum (art. 10 de la loi précitée). </w:t>
      </w:r>
    </w:p>
  </w:footnote>
  <w:footnote w:id="5">
    <w:p>
      <w:pPr>
        <w:pStyle w:val="Notedebasdepage"/>
        <w:spacing w:before="40" w:after="40"/>
        <w:ind w:left="284" w:hanging="142"/>
        <w:jc w:val="both"/>
        <w:rPr/>
      </w:pPr>
      <w:r>
        <w:rPr>
          <w:rStyle w:val="Caractresdenotedebasdepage"/>
        </w:rPr>
        <w:footnoteRef/>
      </w:r>
      <w:r>
        <w:rPr>
          <w:rFonts w:ascii="Marianne" w:hAnsi="Marianne"/>
        </w:rPr>
        <w:tab/>
        <w:t xml:space="preserve"> </w:t>
      </w:r>
      <w:r>
        <w:rPr>
          <w:rFonts w:cs="Arial" w:ascii="Marianne" w:hAnsi="Marianne"/>
        </w:rPr>
        <w:t xml:space="preserve">Dans les communes de 1 000 à 8 999 habitants et dans les communes de 9 000 à 30 799 habitants qui comptent des communes associées, il est procédé à l’attribution de sièges de délégués et de suppléants. </w:t>
      </w:r>
    </w:p>
  </w:footnote>
  <w:footnote w:id="6">
    <w:p>
      <w:pPr>
        <w:pStyle w:val="Notedebasdepage"/>
        <w:spacing w:before="40" w:after="40"/>
        <w:ind w:left="284" w:hanging="142"/>
        <w:rPr/>
      </w:pPr>
      <w:r>
        <w:rPr>
          <w:rStyle w:val="Caractresdenotedebasdepage"/>
        </w:rPr>
        <w:footnoteRef/>
      </w:r>
      <w:r>
        <w:rPr>
          <w:rFonts w:ascii="Marianne" w:hAnsi="Marianne"/>
        </w:rPr>
        <w:tab/>
        <w:t xml:space="preserve"> </w:t>
      </w:r>
      <w:r>
        <w:rPr>
          <w:rFonts w:cs="Arial" w:ascii="Marianne" w:hAnsi="Marianne"/>
        </w:rPr>
        <w:t>Rayer le 4.3. en l’absence de refus du ou des délégués avant l’élection des suppléants.</w:t>
      </w:r>
    </w:p>
  </w:footnote>
  <w:footnote w:id="7">
    <w:p>
      <w:pPr>
        <w:pStyle w:val="Notedebasdepage"/>
        <w:spacing w:before="40" w:after="40"/>
        <w:ind w:left="284" w:hanging="142"/>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8">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ascii="Marianne" w:hAnsi="Marianne"/>
        </w:rPr>
        <w:t xml:space="preserve">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8e1"/>
    <w:pPr>
      <w:widowControl/>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tedebasdepage">
    <w:name w:val="Footnote Text"/>
    <w:basedOn w:val="Normal"/>
    <w:link w:val="NotedebasdepageCar"/>
    <w:semiHidden/>
    <w:rsid w:val="00cb48e1"/>
    <w:pPr/>
    <w:rPr/>
  </w:style>
  <w:style w:type="paragraph" w:styleId="Entte">
    <w:name w:val="Header"/>
    <w:basedOn w:val="Normal"/>
    <w:link w:val="En-tteCar"/>
    <w:unhideWhenUsed/>
    <w:rsid w:val="00cb48e1"/>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b48e1"/>
    <w:pPr>
      <w:tabs>
        <w:tab w:val="clear" w:pos="708"/>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Application>LibreOffice/6.2.6.2$Windows_X86_64 LibreOffice_project/684e730861356e74889dfe6dbddd3562aae2e6ad</Application>
  <Pages>12</Pages>
  <Words>1778</Words>
  <Characters>10615</Characters>
  <CharactersWithSpaces>12392</CharactersWithSpaces>
  <Paragraphs>94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2020-06-25T10:16:00Z</dcterms:created>
  <dc:creator>TAVERNIERAN</dc:creator>
  <dc:description/>
  <dc:language>fr-FR</dc:language>
  <cp:lastModifiedBy/>
  <dcterms:modified xsi:type="dcterms:W3CDTF">2020-07-17T14:51:59Z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